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A7202" w14:textId="77777777" w:rsidR="005800D2" w:rsidRDefault="005800D2" w:rsidP="005800D2">
      <w:pPr>
        <w:spacing w:after="0" w:line="480" w:lineRule="auto"/>
        <w:jc w:val="center"/>
        <w:rPr>
          <w:rFonts w:ascii="Times New Roman" w:hAnsi="Times New Roman" w:cs="Times New Roman"/>
          <w:sz w:val="24"/>
          <w:szCs w:val="24"/>
        </w:rPr>
      </w:pPr>
      <w:bookmarkStart w:id="0" w:name="_GoBack"/>
      <w:bookmarkEnd w:id="0"/>
    </w:p>
    <w:p w14:paraId="00B4C2C6" w14:textId="77777777" w:rsidR="005800D2" w:rsidRDefault="005800D2" w:rsidP="005800D2">
      <w:pPr>
        <w:spacing w:after="0" w:line="480" w:lineRule="auto"/>
        <w:jc w:val="center"/>
        <w:rPr>
          <w:rFonts w:ascii="Times New Roman" w:hAnsi="Times New Roman" w:cs="Times New Roman"/>
          <w:sz w:val="24"/>
          <w:szCs w:val="24"/>
        </w:rPr>
      </w:pPr>
    </w:p>
    <w:p w14:paraId="31A0C5C7" w14:textId="77777777" w:rsidR="005800D2" w:rsidRDefault="005800D2" w:rsidP="005800D2">
      <w:pPr>
        <w:spacing w:after="0" w:line="480" w:lineRule="auto"/>
        <w:jc w:val="center"/>
        <w:rPr>
          <w:rFonts w:ascii="Times New Roman" w:hAnsi="Times New Roman" w:cs="Times New Roman"/>
          <w:sz w:val="24"/>
          <w:szCs w:val="24"/>
        </w:rPr>
      </w:pPr>
    </w:p>
    <w:p w14:paraId="7FD01E56" w14:textId="77777777" w:rsidR="005800D2" w:rsidRDefault="005800D2" w:rsidP="005800D2">
      <w:pPr>
        <w:spacing w:after="0" w:line="480" w:lineRule="auto"/>
        <w:jc w:val="center"/>
        <w:rPr>
          <w:rFonts w:ascii="Times New Roman" w:hAnsi="Times New Roman" w:cs="Times New Roman"/>
          <w:sz w:val="24"/>
          <w:szCs w:val="24"/>
        </w:rPr>
      </w:pPr>
    </w:p>
    <w:p w14:paraId="6E28B3AD" w14:textId="77777777" w:rsidR="005800D2" w:rsidRDefault="005800D2" w:rsidP="005800D2">
      <w:pPr>
        <w:spacing w:after="0" w:line="480" w:lineRule="auto"/>
        <w:jc w:val="center"/>
        <w:rPr>
          <w:rFonts w:ascii="Times New Roman" w:hAnsi="Times New Roman" w:cs="Times New Roman"/>
          <w:sz w:val="24"/>
          <w:szCs w:val="24"/>
        </w:rPr>
      </w:pPr>
    </w:p>
    <w:p w14:paraId="2A81E1C5" w14:textId="77777777" w:rsidR="005800D2" w:rsidRDefault="005800D2" w:rsidP="005800D2">
      <w:pPr>
        <w:spacing w:after="0" w:line="480" w:lineRule="auto"/>
        <w:jc w:val="center"/>
        <w:rPr>
          <w:rFonts w:ascii="Times New Roman" w:hAnsi="Times New Roman" w:cs="Times New Roman"/>
          <w:sz w:val="24"/>
          <w:szCs w:val="24"/>
        </w:rPr>
      </w:pPr>
    </w:p>
    <w:p w14:paraId="53BF0806" w14:textId="77777777" w:rsidR="005800D2" w:rsidRDefault="005800D2" w:rsidP="005800D2">
      <w:pPr>
        <w:spacing w:after="0" w:line="480" w:lineRule="auto"/>
        <w:jc w:val="center"/>
        <w:rPr>
          <w:rFonts w:ascii="Times New Roman" w:hAnsi="Times New Roman" w:cs="Times New Roman"/>
          <w:sz w:val="24"/>
          <w:szCs w:val="24"/>
        </w:rPr>
      </w:pPr>
    </w:p>
    <w:p w14:paraId="62A3B6A1" w14:textId="77777777" w:rsidR="005800D2" w:rsidRDefault="005800D2" w:rsidP="005800D2">
      <w:pPr>
        <w:spacing w:after="0" w:line="480" w:lineRule="auto"/>
        <w:jc w:val="center"/>
        <w:rPr>
          <w:rFonts w:ascii="Times New Roman" w:hAnsi="Times New Roman" w:cs="Times New Roman"/>
          <w:sz w:val="24"/>
          <w:szCs w:val="24"/>
        </w:rPr>
      </w:pPr>
    </w:p>
    <w:p w14:paraId="3DA22045" w14:textId="78989CBF"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 xml:space="preserve">The </w:t>
      </w:r>
      <w:r w:rsidR="005F1F74">
        <w:rPr>
          <w:rFonts w:ascii="Times New Roman" w:hAnsi="Times New Roman" w:cs="Times New Roman"/>
          <w:sz w:val="24"/>
          <w:szCs w:val="24"/>
        </w:rPr>
        <w:t xml:space="preserve">Connective </w:t>
      </w:r>
      <w:r w:rsidRPr="005800D2">
        <w:rPr>
          <w:rFonts w:ascii="Times New Roman" w:hAnsi="Times New Roman" w:cs="Times New Roman"/>
          <w:sz w:val="24"/>
          <w:szCs w:val="24"/>
        </w:rPr>
        <w:t>Competitive Analysis</w:t>
      </w:r>
    </w:p>
    <w:p w14:paraId="0FBCD27B" w14:textId="1FA99ADE" w:rsidR="005800D2" w:rsidRPr="005800D2" w:rsidRDefault="005F1F74" w:rsidP="005800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Marquita Y. Taylor</w:t>
      </w:r>
    </w:p>
    <w:p w14:paraId="59E3833C" w14:textId="175DFA69" w:rsidR="005800D2" w:rsidRPr="005800D2" w:rsidRDefault="005F1F74" w:rsidP="005800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Berkeley College</w:t>
      </w:r>
    </w:p>
    <w:p w14:paraId="082E8ABD" w14:textId="77777777" w:rsidR="005800D2" w:rsidRDefault="005800D2" w:rsidP="005800D2">
      <w:pPr>
        <w:spacing w:after="0" w:line="480" w:lineRule="auto"/>
        <w:jc w:val="center"/>
        <w:rPr>
          <w:rFonts w:ascii="Times New Roman" w:hAnsi="Times New Roman" w:cs="Times New Roman"/>
          <w:b/>
          <w:sz w:val="24"/>
          <w:szCs w:val="24"/>
        </w:rPr>
      </w:pPr>
    </w:p>
    <w:p w14:paraId="7C8D2463" w14:textId="77777777" w:rsidR="005800D2" w:rsidRDefault="005800D2" w:rsidP="005800D2">
      <w:pPr>
        <w:spacing w:after="0" w:line="480" w:lineRule="auto"/>
        <w:jc w:val="center"/>
        <w:rPr>
          <w:rFonts w:ascii="Times New Roman" w:hAnsi="Times New Roman" w:cs="Times New Roman"/>
          <w:b/>
          <w:sz w:val="24"/>
          <w:szCs w:val="24"/>
        </w:rPr>
      </w:pPr>
    </w:p>
    <w:p w14:paraId="4DB9DEDA" w14:textId="77777777" w:rsidR="005800D2" w:rsidRDefault="005800D2" w:rsidP="005800D2">
      <w:pPr>
        <w:spacing w:after="0" w:line="480" w:lineRule="auto"/>
        <w:jc w:val="center"/>
        <w:rPr>
          <w:rFonts w:ascii="Times New Roman" w:hAnsi="Times New Roman" w:cs="Times New Roman"/>
          <w:b/>
          <w:sz w:val="24"/>
          <w:szCs w:val="24"/>
        </w:rPr>
      </w:pPr>
    </w:p>
    <w:p w14:paraId="6EA738D2" w14:textId="77777777" w:rsidR="005800D2" w:rsidRDefault="005800D2" w:rsidP="005800D2">
      <w:pPr>
        <w:spacing w:after="0" w:line="480" w:lineRule="auto"/>
        <w:jc w:val="center"/>
        <w:rPr>
          <w:rFonts w:ascii="Times New Roman" w:hAnsi="Times New Roman" w:cs="Times New Roman"/>
          <w:b/>
          <w:sz w:val="24"/>
          <w:szCs w:val="24"/>
        </w:rPr>
      </w:pPr>
    </w:p>
    <w:p w14:paraId="203BB226" w14:textId="77777777" w:rsidR="005800D2" w:rsidRDefault="005800D2" w:rsidP="005800D2">
      <w:pPr>
        <w:spacing w:after="0" w:line="480" w:lineRule="auto"/>
        <w:jc w:val="center"/>
        <w:rPr>
          <w:rFonts w:ascii="Times New Roman" w:hAnsi="Times New Roman" w:cs="Times New Roman"/>
          <w:b/>
          <w:sz w:val="24"/>
          <w:szCs w:val="24"/>
        </w:rPr>
      </w:pPr>
    </w:p>
    <w:p w14:paraId="2D2E17F9" w14:textId="77777777" w:rsidR="005800D2" w:rsidRDefault="005800D2" w:rsidP="005800D2">
      <w:pPr>
        <w:spacing w:after="0" w:line="480" w:lineRule="auto"/>
        <w:jc w:val="center"/>
        <w:rPr>
          <w:rFonts w:ascii="Times New Roman" w:hAnsi="Times New Roman" w:cs="Times New Roman"/>
          <w:b/>
          <w:sz w:val="24"/>
          <w:szCs w:val="24"/>
        </w:rPr>
      </w:pPr>
    </w:p>
    <w:p w14:paraId="5C5A7FD3" w14:textId="77777777" w:rsidR="005800D2" w:rsidRDefault="005800D2" w:rsidP="005800D2">
      <w:pPr>
        <w:spacing w:after="0" w:line="480" w:lineRule="auto"/>
        <w:jc w:val="center"/>
        <w:rPr>
          <w:rFonts w:ascii="Times New Roman" w:hAnsi="Times New Roman" w:cs="Times New Roman"/>
          <w:b/>
          <w:sz w:val="24"/>
          <w:szCs w:val="24"/>
        </w:rPr>
      </w:pPr>
    </w:p>
    <w:p w14:paraId="16E6AFBA" w14:textId="77777777" w:rsidR="005800D2" w:rsidRDefault="005800D2" w:rsidP="005800D2">
      <w:pPr>
        <w:spacing w:after="0" w:line="480" w:lineRule="auto"/>
        <w:jc w:val="center"/>
        <w:rPr>
          <w:rFonts w:ascii="Times New Roman" w:hAnsi="Times New Roman" w:cs="Times New Roman"/>
          <w:b/>
          <w:sz w:val="24"/>
          <w:szCs w:val="24"/>
        </w:rPr>
      </w:pPr>
    </w:p>
    <w:p w14:paraId="2AF01F87" w14:textId="77777777" w:rsidR="005800D2" w:rsidRDefault="005800D2" w:rsidP="005800D2">
      <w:pPr>
        <w:spacing w:after="0" w:line="480" w:lineRule="auto"/>
        <w:jc w:val="center"/>
        <w:rPr>
          <w:rFonts w:ascii="Times New Roman" w:hAnsi="Times New Roman" w:cs="Times New Roman"/>
          <w:b/>
          <w:sz w:val="24"/>
          <w:szCs w:val="24"/>
        </w:rPr>
      </w:pPr>
    </w:p>
    <w:p w14:paraId="58F65748" w14:textId="77777777" w:rsidR="005800D2" w:rsidRDefault="005800D2" w:rsidP="005800D2">
      <w:pPr>
        <w:spacing w:after="0" w:line="480" w:lineRule="auto"/>
        <w:jc w:val="center"/>
        <w:rPr>
          <w:rFonts w:ascii="Times New Roman" w:hAnsi="Times New Roman" w:cs="Times New Roman"/>
          <w:b/>
          <w:sz w:val="24"/>
          <w:szCs w:val="24"/>
        </w:rPr>
      </w:pPr>
    </w:p>
    <w:p w14:paraId="7D7F4BCE" w14:textId="77777777" w:rsidR="005800D2" w:rsidRDefault="005800D2" w:rsidP="005800D2">
      <w:pPr>
        <w:spacing w:after="0" w:line="480" w:lineRule="auto"/>
        <w:jc w:val="center"/>
        <w:rPr>
          <w:rFonts w:ascii="Times New Roman" w:hAnsi="Times New Roman" w:cs="Times New Roman"/>
          <w:b/>
          <w:sz w:val="24"/>
          <w:szCs w:val="24"/>
        </w:rPr>
      </w:pPr>
    </w:p>
    <w:p w14:paraId="178C1832" w14:textId="77777777" w:rsidR="005800D2" w:rsidRDefault="005800D2" w:rsidP="005800D2">
      <w:pPr>
        <w:spacing w:after="0" w:line="480" w:lineRule="auto"/>
        <w:jc w:val="center"/>
        <w:rPr>
          <w:rFonts w:ascii="Times New Roman" w:hAnsi="Times New Roman" w:cs="Times New Roman"/>
          <w:b/>
          <w:sz w:val="24"/>
          <w:szCs w:val="24"/>
        </w:rPr>
      </w:pPr>
    </w:p>
    <w:p w14:paraId="74890177" w14:textId="6BED056C"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b/>
          <w:sz w:val="24"/>
          <w:szCs w:val="24"/>
        </w:rPr>
        <w:lastRenderedPageBreak/>
        <w:t xml:space="preserve">The </w:t>
      </w:r>
      <w:r w:rsidR="005F1F74">
        <w:rPr>
          <w:rFonts w:ascii="Times New Roman" w:hAnsi="Times New Roman" w:cs="Times New Roman"/>
          <w:b/>
          <w:sz w:val="24"/>
          <w:szCs w:val="24"/>
        </w:rPr>
        <w:t xml:space="preserve">Connective </w:t>
      </w:r>
      <w:r w:rsidRPr="005800D2">
        <w:rPr>
          <w:rFonts w:ascii="Times New Roman" w:hAnsi="Times New Roman" w:cs="Times New Roman"/>
          <w:b/>
          <w:sz w:val="24"/>
          <w:szCs w:val="24"/>
        </w:rPr>
        <w:t>Competitive Analy</w:t>
      </w:r>
      <w:r w:rsidRPr="005800D2">
        <w:rPr>
          <w:rFonts w:ascii="Times New Roman" w:hAnsi="Times New Roman" w:cs="Times New Roman"/>
          <w:sz w:val="24"/>
          <w:szCs w:val="24"/>
        </w:rPr>
        <w:t>sis</w:t>
      </w:r>
    </w:p>
    <w:p w14:paraId="470A2120"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Competitors</w:t>
      </w:r>
    </w:p>
    <w:p w14:paraId="6AA59BDE" w14:textId="6BDF2B9A"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The </w:t>
      </w:r>
      <w:r w:rsidR="005F1F74">
        <w:rPr>
          <w:rFonts w:ascii="Times New Roman" w:hAnsi="Times New Roman" w:cs="Times New Roman"/>
          <w:sz w:val="24"/>
          <w:szCs w:val="24"/>
        </w:rPr>
        <w:t>Connective</w:t>
      </w:r>
      <w:r w:rsidR="0016654C" w:rsidRPr="005800D2">
        <w:rPr>
          <w:rFonts w:ascii="Times New Roman" w:hAnsi="Times New Roman" w:cs="Times New Roman"/>
          <w:sz w:val="24"/>
          <w:szCs w:val="24"/>
        </w:rPr>
        <w:t xml:space="preserve"> operates as a </w:t>
      </w:r>
      <w:r w:rsidR="005F1F74">
        <w:rPr>
          <w:rFonts w:ascii="Times New Roman" w:hAnsi="Times New Roman" w:cs="Times New Roman"/>
          <w:sz w:val="24"/>
          <w:szCs w:val="24"/>
        </w:rPr>
        <w:t xml:space="preserve">marketing </w:t>
      </w:r>
      <w:r w:rsidR="0016654C" w:rsidRPr="005800D2">
        <w:rPr>
          <w:rFonts w:ascii="Times New Roman" w:hAnsi="Times New Roman" w:cs="Times New Roman"/>
          <w:sz w:val="24"/>
          <w:szCs w:val="24"/>
        </w:rPr>
        <w:t xml:space="preserve">brokerage company </w:t>
      </w:r>
      <w:r w:rsidR="005F1F74">
        <w:rPr>
          <w:rFonts w:ascii="Times New Roman" w:hAnsi="Times New Roman" w:cs="Times New Roman"/>
          <w:sz w:val="24"/>
          <w:szCs w:val="24"/>
        </w:rPr>
        <w:t>that focuses</w:t>
      </w:r>
      <w:r w:rsidR="0016654C" w:rsidRPr="005800D2">
        <w:rPr>
          <w:rFonts w:ascii="Times New Roman" w:hAnsi="Times New Roman" w:cs="Times New Roman"/>
          <w:sz w:val="24"/>
          <w:szCs w:val="24"/>
        </w:rPr>
        <w:t xml:space="preserve"> its activities in the </w:t>
      </w:r>
      <w:r w:rsidR="005F1F74">
        <w:rPr>
          <w:rFonts w:ascii="Times New Roman" w:hAnsi="Times New Roman" w:cs="Times New Roman"/>
          <w:sz w:val="24"/>
          <w:szCs w:val="24"/>
        </w:rPr>
        <w:t>United States</w:t>
      </w:r>
      <w:r w:rsidR="0016654C" w:rsidRPr="005800D2">
        <w:rPr>
          <w:rFonts w:ascii="Times New Roman" w:hAnsi="Times New Roman" w:cs="Times New Roman"/>
          <w:sz w:val="24"/>
          <w:szCs w:val="24"/>
        </w:rPr>
        <w:t>. In this location, it faces stiff competition from companies that had already established themselves in the market. Transworld and Sunbelt are the companies intensify the competition in the brokerage industry. There is a specific number of rules and policies that govern the industry, and they are subjective to changes depending on the states that the company operates. Rules and laws are dynamic, and the best way to understand them is by benchmarking the activities of companies that existed before you</w:t>
      </w:r>
      <w:r w:rsidRPr="005800D2">
        <w:rPr>
          <w:rFonts w:ascii="Times New Roman" w:hAnsi="Times New Roman" w:cs="Times New Roman"/>
          <w:sz w:val="24"/>
          <w:szCs w:val="24"/>
        </w:rPr>
        <w:t xml:space="preserve"> (Bouranta &amp; Psomas, 2017)</w:t>
      </w:r>
      <w:r w:rsidR="0016654C" w:rsidRPr="005800D2">
        <w:rPr>
          <w:rFonts w:ascii="Times New Roman" w:hAnsi="Times New Roman" w:cs="Times New Roman"/>
          <w:sz w:val="24"/>
          <w:szCs w:val="24"/>
        </w:rPr>
        <w:t>. For the competitive analysis to be complete, there must be the element of studying the underlying consumer trends. This concept helps a growing company. The Connective to set its ethical, financial, social and operational standards on a clear baseline. Sunbelt tops the list of competitors because it has established globally and it specializes in linking big companies. Transworld has a reputation for closing deals for small and mid-sized companies, and it is the best company that can share baseline information to transform the activities of The Connective.</w:t>
      </w:r>
    </w:p>
    <w:p w14:paraId="6E598C48"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Competition</w:t>
      </w:r>
    </w:p>
    <w:p w14:paraId="7C6790ED" w14:textId="77777777"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Competition in the brokerage industry is not very stiff like it is in other sectors. Prices do not influence consumer behavior, and this cannot be a threat to existing companies. Most brokerage companies operate under the regulation of the Certified Business Intermediaries (CBI), and International Business Broker Association (IBBA) and their brokers have to pass through the vetting process before they are allowed to operate in any jurisdiction. This concept shows that there are strict rules that guide the industry. Competition is fair because most brokers get a share of between 10 percent and 12 percent of the total value of the deal upon closure</w:t>
      </w:r>
      <w:r w:rsidRPr="005800D2">
        <w:rPr>
          <w:rFonts w:ascii="Times New Roman" w:hAnsi="Times New Roman" w:cs="Times New Roman"/>
          <w:sz w:val="24"/>
          <w:szCs w:val="24"/>
        </w:rPr>
        <w:t xml:space="preserve"> </w:t>
      </w:r>
      <w:r w:rsidRPr="005800D2">
        <w:rPr>
          <w:rFonts w:ascii="Times New Roman" w:hAnsi="Times New Roman" w:cs="Times New Roman"/>
          <w:sz w:val="24"/>
          <w:szCs w:val="24"/>
        </w:rPr>
        <w:lastRenderedPageBreak/>
        <w:t>(Fleisher &amp; Bensoussan, 2015)</w:t>
      </w:r>
      <w:r w:rsidR="0016654C" w:rsidRPr="005800D2">
        <w:rPr>
          <w:rFonts w:ascii="Times New Roman" w:hAnsi="Times New Roman" w:cs="Times New Roman"/>
          <w:sz w:val="24"/>
          <w:szCs w:val="24"/>
        </w:rPr>
        <w:t>. This regulation applies to Sunbelt and Transworld companies, for The Connective, the brokers get 50 percent of the full share upon the closing of the business.</w:t>
      </w:r>
    </w:p>
    <w:p w14:paraId="2C2FCE28"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Suppliers</w:t>
      </w:r>
    </w:p>
    <w:p w14:paraId="4104AA53" w14:textId="77777777"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question of the suppliers of the brokerage is open-ended. Partners that have contracts with brokerage companies can provide its goods and services to any client given to it by the brokerage company. There may be more than one partner than offers specific products and services. Depending on the needs of the client, the brokerage company has the authority to choose a partner that meets the needs of the client best. This guideline unveils the concept of confidentiality that is paramount in the brokerage industry</w:t>
      </w:r>
      <w:r w:rsidRPr="005800D2">
        <w:rPr>
          <w:rFonts w:ascii="Times New Roman" w:hAnsi="Times New Roman" w:cs="Times New Roman"/>
          <w:sz w:val="24"/>
          <w:szCs w:val="24"/>
        </w:rPr>
        <w:t xml:space="preserve"> (Jayant, Giri, Singh &amp; Luthra, 2018)</w:t>
      </w:r>
      <w:r w:rsidR="0016654C" w:rsidRPr="005800D2">
        <w:rPr>
          <w:rFonts w:ascii="Times New Roman" w:hAnsi="Times New Roman" w:cs="Times New Roman"/>
          <w:sz w:val="24"/>
          <w:szCs w:val="24"/>
        </w:rPr>
        <w:t>. Suppliers can range from financial institutions, resorts, bars, offices, logistic companies, security companies et cetera. The list endless</w:t>
      </w:r>
      <w:r w:rsidRPr="005800D2">
        <w:rPr>
          <w:rFonts w:ascii="Times New Roman" w:hAnsi="Times New Roman" w:cs="Times New Roman"/>
          <w:sz w:val="24"/>
          <w:szCs w:val="24"/>
        </w:rPr>
        <w:t xml:space="preserve"> and the type of industries can</w:t>
      </w:r>
      <w:r w:rsidR="0016654C" w:rsidRPr="005800D2">
        <w:rPr>
          <w:rFonts w:ascii="Times New Roman" w:hAnsi="Times New Roman" w:cs="Times New Roman"/>
          <w:sz w:val="24"/>
          <w:szCs w:val="24"/>
        </w:rPr>
        <w:t xml:space="preserve">not restrict it. Suppliers have no power in the industry if they are displeased by the products or services they get from their broker partner they can partner with other companies that suit their needs. </w:t>
      </w:r>
    </w:p>
    <w:p w14:paraId="6B070B2A"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Consumers</w:t>
      </w:r>
    </w:p>
    <w:p w14:paraId="0844425F" w14:textId="77777777"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There is a unique identifier placed on clients that interact with brokerage companies. Clients are usually the products that brokerage companies sell to their partners. After referral of clients to their partner's products and services, there are two ways that the business can end. The brokers may transact the deal on behalf of the client and receive their share, or they wait for financial commissions from the brokerage companies that employ them after the transaction has closed. The links, or what is popularly known as the connections, are what define the success or failure of a business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xml:space="preserve">. As such business grow, they meet new clients and form new links that broaden the base of the companies. This reason asserts the theory that the more a brokerage company exists, the more it transacts businesses. Consumers cannot determine </w:t>
      </w:r>
      <w:r w:rsidR="0016654C" w:rsidRPr="005800D2">
        <w:rPr>
          <w:rFonts w:ascii="Times New Roman" w:hAnsi="Times New Roman" w:cs="Times New Roman"/>
          <w:sz w:val="24"/>
          <w:szCs w:val="24"/>
        </w:rPr>
        <w:lastRenderedPageBreak/>
        <w:t>the direction of the company in this case, and this is the reason why there must be state and federal regulations to deter malpractice.</w:t>
      </w:r>
    </w:p>
    <w:p w14:paraId="3DB2F095"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Switching </w:t>
      </w:r>
      <w:r w:rsidR="005800D2" w:rsidRPr="005800D2">
        <w:rPr>
          <w:rFonts w:ascii="Times New Roman" w:hAnsi="Times New Roman" w:cs="Times New Roman"/>
          <w:b/>
          <w:sz w:val="24"/>
          <w:szCs w:val="24"/>
        </w:rPr>
        <w:t>Products and Services</w:t>
      </w:r>
    </w:p>
    <w:p w14:paraId="14C45534" w14:textId="77777777"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probability of consumers switching from one brokerage company's products and services to another is very low. Some regulations ensure fairness in the industry and breaching would lead to revocation of operating licenses and deregistration from company listings. One significant advantage of this venture is that there underpricing is discouraged and this drives the revenue of the named company. Price factors are always a trigger to client product and service switch, but when such regulations pass the implementation stage, the switch rate significantly reduces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xml:space="preserve">. A switch may only occur if the approached brokerage company does not have primary or second links with the desired products or services. Then there is the element of information confinement among brokerage companies in the sense that they cannot share client or partner links. The atmosphere is entirely capitalistic, and each company tries to overpower its external competition. </w:t>
      </w:r>
    </w:p>
    <w:p w14:paraId="4B0573E5" w14:textId="77777777"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New </w:t>
      </w:r>
      <w:r w:rsidR="005800D2" w:rsidRPr="005800D2">
        <w:rPr>
          <w:rFonts w:ascii="Times New Roman" w:hAnsi="Times New Roman" w:cs="Times New Roman"/>
          <w:b/>
          <w:sz w:val="24"/>
          <w:szCs w:val="24"/>
        </w:rPr>
        <w:t>Competition</w:t>
      </w:r>
    </w:p>
    <w:p w14:paraId="2B3C0763" w14:textId="77777777" w:rsidR="00121AD3"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Competition is a factor that drives excellence of any product and service. There must be the aspect of competition in almost all products and services for customers to get a value for their money. Lately, brokerage companies have been diversifying their products and services to offer full packages. Drafting of Business valuation reports and partial financing are some of the latest additions to the earlier packages. One importance of the named indulgences is that they help foster loyalty among its clients. Entry barriers in the brokerage industry are very high. Though technology; especially social media, has revolutionized how people interact, there is still the problematic physical aspect of meeting people as clients or partners</w:t>
      </w:r>
      <w:r w:rsidRPr="005800D2">
        <w:rPr>
          <w:rFonts w:ascii="Times New Roman" w:hAnsi="Times New Roman" w:cs="Times New Roman"/>
          <w:sz w:val="24"/>
          <w:szCs w:val="24"/>
        </w:rPr>
        <w:t xml:space="preserve"> (Jayant, Giri, Singh &amp; </w:t>
      </w:r>
      <w:r w:rsidRPr="005800D2">
        <w:rPr>
          <w:rFonts w:ascii="Times New Roman" w:hAnsi="Times New Roman" w:cs="Times New Roman"/>
          <w:sz w:val="24"/>
          <w:szCs w:val="24"/>
        </w:rPr>
        <w:lastRenderedPageBreak/>
        <w:t>Luthra, 2018)</w:t>
      </w:r>
      <w:r w:rsidR="0016654C" w:rsidRPr="005800D2">
        <w:rPr>
          <w:rFonts w:ascii="Times New Roman" w:hAnsi="Times New Roman" w:cs="Times New Roman"/>
          <w:sz w:val="24"/>
          <w:szCs w:val="24"/>
        </w:rPr>
        <w:t>. Many deals that any brokerage company completes are done face to face because they instill a sense of trust in the customers or partners. Moreover, brokerage companies grow their bases on referrals. This twist makes it extremely hard for emerging brokerage companies to get clients and partners it needs to improve.</w:t>
      </w:r>
    </w:p>
    <w:p w14:paraId="38F429B9" w14:textId="77777777" w:rsidR="005800D2" w:rsidRDefault="005800D2" w:rsidP="005800D2">
      <w:pPr>
        <w:spacing w:after="0" w:line="480" w:lineRule="auto"/>
        <w:rPr>
          <w:rFonts w:ascii="Times New Roman" w:hAnsi="Times New Roman" w:cs="Times New Roman"/>
          <w:sz w:val="24"/>
          <w:szCs w:val="24"/>
        </w:rPr>
      </w:pPr>
    </w:p>
    <w:p w14:paraId="09F15FFF" w14:textId="77777777" w:rsidR="005800D2" w:rsidRDefault="005800D2" w:rsidP="005800D2">
      <w:pPr>
        <w:spacing w:after="0" w:line="480" w:lineRule="auto"/>
        <w:rPr>
          <w:rFonts w:ascii="Times New Roman" w:hAnsi="Times New Roman" w:cs="Times New Roman"/>
          <w:sz w:val="24"/>
          <w:szCs w:val="24"/>
        </w:rPr>
      </w:pPr>
    </w:p>
    <w:p w14:paraId="0BFC7F8C" w14:textId="77777777" w:rsidR="005800D2" w:rsidRDefault="005800D2" w:rsidP="005800D2">
      <w:pPr>
        <w:spacing w:after="0" w:line="480" w:lineRule="auto"/>
        <w:rPr>
          <w:rFonts w:ascii="Times New Roman" w:hAnsi="Times New Roman" w:cs="Times New Roman"/>
          <w:sz w:val="24"/>
          <w:szCs w:val="24"/>
        </w:rPr>
      </w:pPr>
    </w:p>
    <w:p w14:paraId="70B5E364" w14:textId="77777777" w:rsidR="005800D2" w:rsidRDefault="005800D2" w:rsidP="005800D2">
      <w:pPr>
        <w:spacing w:after="0" w:line="480" w:lineRule="auto"/>
        <w:rPr>
          <w:rFonts w:ascii="Times New Roman" w:hAnsi="Times New Roman" w:cs="Times New Roman"/>
          <w:sz w:val="24"/>
          <w:szCs w:val="24"/>
        </w:rPr>
      </w:pPr>
    </w:p>
    <w:p w14:paraId="0CE162C0" w14:textId="77777777" w:rsidR="005800D2" w:rsidRDefault="005800D2" w:rsidP="005800D2">
      <w:pPr>
        <w:spacing w:after="0" w:line="480" w:lineRule="auto"/>
        <w:rPr>
          <w:rFonts w:ascii="Times New Roman" w:hAnsi="Times New Roman" w:cs="Times New Roman"/>
          <w:sz w:val="24"/>
          <w:szCs w:val="24"/>
        </w:rPr>
      </w:pPr>
    </w:p>
    <w:p w14:paraId="3D96171F" w14:textId="77777777" w:rsidR="005800D2" w:rsidRDefault="005800D2" w:rsidP="005800D2">
      <w:pPr>
        <w:spacing w:after="0" w:line="480" w:lineRule="auto"/>
        <w:rPr>
          <w:rFonts w:ascii="Times New Roman" w:hAnsi="Times New Roman" w:cs="Times New Roman"/>
          <w:sz w:val="24"/>
          <w:szCs w:val="24"/>
        </w:rPr>
      </w:pPr>
    </w:p>
    <w:p w14:paraId="4201E304" w14:textId="77777777" w:rsidR="005800D2" w:rsidRDefault="005800D2" w:rsidP="005800D2">
      <w:pPr>
        <w:spacing w:after="0" w:line="480" w:lineRule="auto"/>
        <w:rPr>
          <w:rFonts w:ascii="Times New Roman" w:hAnsi="Times New Roman" w:cs="Times New Roman"/>
          <w:sz w:val="24"/>
          <w:szCs w:val="24"/>
        </w:rPr>
      </w:pPr>
    </w:p>
    <w:p w14:paraId="5D6EF9BA" w14:textId="77777777" w:rsidR="005800D2" w:rsidRDefault="005800D2" w:rsidP="005800D2">
      <w:pPr>
        <w:spacing w:after="0" w:line="480" w:lineRule="auto"/>
        <w:rPr>
          <w:rFonts w:ascii="Times New Roman" w:hAnsi="Times New Roman" w:cs="Times New Roman"/>
          <w:sz w:val="24"/>
          <w:szCs w:val="24"/>
        </w:rPr>
      </w:pPr>
    </w:p>
    <w:p w14:paraId="056F3648" w14:textId="77777777" w:rsidR="005800D2" w:rsidRDefault="005800D2" w:rsidP="005800D2">
      <w:pPr>
        <w:spacing w:after="0" w:line="480" w:lineRule="auto"/>
        <w:rPr>
          <w:rFonts w:ascii="Times New Roman" w:hAnsi="Times New Roman" w:cs="Times New Roman"/>
          <w:sz w:val="24"/>
          <w:szCs w:val="24"/>
        </w:rPr>
      </w:pPr>
    </w:p>
    <w:p w14:paraId="1682163D" w14:textId="77777777" w:rsidR="005800D2" w:rsidRDefault="005800D2" w:rsidP="005800D2">
      <w:pPr>
        <w:spacing w:after="0" w:line="480" w:lineRule="auto"/>
        <w:rPr>
          <w:rFonts w:ascii="Times New Roman" w:hAnsi="Times New Roman" w:cs="Times New Roman"/>
          <w:sz w:val="24"/>
          <w:szCs w:val="24"/>
        </w:rPr>
      </w:pPr>
    </w:p>
    <w:p w14:paraId="179BF0D6" w14:textId="77777777" w:rsidR="005800D2" w:rsidRDefault="005800D2" w:rsidP="005800D2">
      <w:pPr>
        <w:spacing w:after="0" w:line="480" w:lineRule="auto"/>
        <w:rPr>
          <w:rFonts w:ascii="Times New Roman" w:hAnsi="Times New Roman" w:cs="Times New Roman"/>
          <w:sz w:val="24"/>
          <w:szCs w:val="24"/>
        </w:rPr>
      </w:pPr>
    </w:p>
    <w:p w14:paraId="547310F1" w14:textId="77777777" w:rsidR="005800D2" w:rsidRDefault="005800D2" w:rsidP="005800D2">
      <w:pPr>
        <w:spacing w:after="0" w:line="480" w:lineRule="auto"/>
        <w:rPr>
          <w:rFonts w:ascii="Times New Roman" w:hAnsi="Times New Roman" w:cs="Times New Roman"/>
          <w:sz w:val="24"/>
          <w:szCs w:val="24"/>
        </w:rPr>
      </w:pPr>
    </w:p>
    <w:p w14:paraId="5D5DC72A" w14:textId="77777777" w:rsidR="005800D2" w:rsidRDefault="005800D2" w:rsidP="005800D2">
      <w:pPr>
        <w:spacing w:after="0" w:line="480" w:lineRule="auto"/>
        <w:rPr>
          <w:rFonts w:ascii="Times New Roman" w:hAnsi="Times New Roman" w:cs="Times New Roman"/>
          <w:sz w:val="24"/>
          <w:szCs w:val="24"/>
        </w:rPr>
      </w:pPr>
    </w:p>
    <w:p w14:paraId="71AE7963" w14:textId="77777777" w:rsidR="005800D2" w:rsidRDefault="005800D2" w:rsidP="005800D2">
      <w:pPr>
        <w:spacing w:after="0" w:line="480" w:lineRule="auto"/>
        <w:rPr>
          <w:rFonts w:ascii="Times New Roman" w:hAnsi="Times New Roman" w:cs="Times New Roman"/>
          <w:sz w:val="24"/>
          <w:szCs w:val="24"/>
        </w:rPr>
      </w:pPr>
    </w:p>
    <w:p w14:paraId="4D73B0B8" w14:textId="77777777" w:rsidR="005800D2" w:rsidRDefault="005800D2" w:rsidP="005800D2">
      <w:pPr>
        <w:spacing w:after="0" w:line="480" w:lineRule="auto"/>
        <w:rPr>
          <w:rFonts w:ascii="Times New Roman" w:hAnsi="Times New Roman" w:cs="Times New Roman"/>
          <w:sz w:val="24"/>
          <w:szCs w:val="24"/>
        </w:rPr>
      </w:pPr>
    </w:p>
    <w:p w14:paraId="6A4F5018" w14:textId="77777777" w:rsidR="005800D2" w:rsidRDefault="005800D2" w:rsidP="005800D2">
      <w:pPr>
        <w:spacing w:after="0" w:line="480" w:lineRule="auto"/>
        <w:rPr>
          <w:rFonts w:ascii="Times New Roman" w:hAnsi="Times New Roman" w:cs="Times New Roman"/>
          <w:sz w:val="24"/>
          <w:szCs w:val="24"/>
        </w:rPr>
      </w:pPr>
    </w:p>
    <w:p w14:paraId="7FC08CF8" w14:textId="77777777" w:rsidR="005800D2" w:rsidRDefault="005800D2" w:rsidP="005800D2">
      <w:pPr>
        <w:spacing w:after="0" w:line="480" w:lineRule="auto"/>
        <w:rPr>
          <w:rFonts w:ascii="Times New Roman" w:hAnsi="Times New Roman" w:cs="Times New Roman"/>
          <w:sz w:val="24"/>
          <w:szCs w:val="24"/>
        </w:rPr>
      </w:pPr>
    </w:p>
    <w:p w14:paraId="18ED07A6" w14:textId="77777777" w:rsidR="005800D2" w:rsidRDefault="005800D2" w:rsidP="005800D2">
      <w:pPr>
        <w:spacing w:after="0" w:line="480" w:lineRule="auto"/>
        <w:rPr>
          <w:rFonts w:ascii="Times New Roman" w:hAnsi="Times New Roman" w:cs="Times New Roman"/>
          <w:sz w:val="24"/>
          <w:szCs w:val="24"/>
        </w:rPr>
      </w:pPr>
    </w:p>
    <w:p w14:paraId="5A6B7E01" w14:textId="77777777" w:rsidR="005F1F74" w:rsidRDefault="005F1F74" w:rsidP="005800D2">
      <w:pPr>
        <w:spacing w:after="0" w:line="480" w:lineRule="auto"/>
        <w:jc w:val="center"/>
        <w:rPr>
          <w:rFonts w:ascii="Times New Roman" w:hAnsi="Times New Roman" w:cs="Times New Roman"/>
          <w:sz w:val="24"/>
          <w:szCs w:val="24"/>
        </w:rPr>
      </w:pPr>
    </w:p>
    <w:p w14:paraId="3A6FFC99" w14:textId="77777777" w:rsidR="005F1F74" w:rsidRDefault="005F1F74" w:rsidP="005800D2">
      <w:pPr>
        <w:spacing w:after="0" w:line="480" w:lineRule="auto"/>
        <w:jc w:val="center"/>
        <w:rPr>
          <w:rFonts w:ascii="Times New Roman" w:hAnsi="Times New Roman" w:cs="Times New Roman"/>
          <w:sz w:val="24"/>
          <w:szCs w:val="24"/>
        </w:rPr>
      </w:pPr>
    </w:p>
    <w:p w14:paraId="584B2107" w14:textId="68CDCE4B" w:rsidR="005800D2" w:rsidRPr="008D6CC8" w:rsidRDefault="005800D2" w:rsidP="005800D2">
      <w:pPr>
        <w:spacing w:after="0" w:line="480" w:lineRule="auto"/>
        <w:jc w:val="center"/>
        <w:rPr>
          <w:rFonts w:ascii="Times New Roman" w:hAnsi="Times New Roman" w:cs="Times New Roman"/>
          <w:b/>
          <w:sz w:val="24"/>
          <w:szCs w:val="24"/>
        </w:rPr>
      </w:pPr>
      <w:r w:rsidRPr="008D6CC8">
        <w:rPr>
          <w:rFonts w:ascii="Times New Roman" w:hAnsi="Times New Roman" w:cs="Times New Roman"/>
          <w:b/>
          <w:sz w:val="24"/>
          <w:szCs w:val="24"/>
        </w:rPr>
        <w:t>References</w:t>
      </w:r>
    </w:p>
    <w:p w14:paraId="553EEC73" w14:textId="77777777"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Bouranta, N., &amp; Psomas, E. (2017). A comparative analysi</w:t>
      </w:r>
      <w:r>
        <w:rPr>
          <w:rFonts w:ascii="Times New Roman" w:hAnsi="Times New Roman" w:cs="Times New Roman"/>
          <w:sz w:val="24"/>
          <w:szCs w:val="24"/>
        </w:rPr>
        <w:t>s of competitive priorities and</w:t>
      </w:r>
      <w:r>
        <w:rPr>
          <w:rFonts w:ascii="Times New Roman" w:hAnsi="Times New Roman" w:cs="Times New Roman"/>
          <w:sz w:val="24"/>
          <w:szCs w:val="24"/>
        </w:rPr>
        <w:tab/>
      </w:r>
      <w:r w:rsidRPr="005800D2">
        <w:rPr>
          <w:rFonts w:ascii="Times New Roman" w:hAnsi="Times New Roman" w:cs="Times New Roman"/>
          <w:sz w:val="24"/>
          <w:szCs w:val="24"/>
        </w:rPr>
        <w:t xml:space="preserve">business performance between manufacturing and service </w:t>
      </w:r>
      <w:r>
        <w:rPr>
          <w:rFonts w:ascii="Times New Roman" w:hAnsi="Times New Roman" w:cs="Times New Roman"/>
          <w:sz w:val="24"/>
          <w:szCs w:val="24"/>
        </w:rPr>
        <w:t>firms. International Journal of</w:t>
      </w:r>
      <w:r>
        <w:rPr>
          <w:rFonts w:ascii="Times New Roman" w:hAnsi="Times New Roman" w:cs="Times New Roman"/>
          <w:sz w:val="24"/>
          <w:szCs w:val="24"/>
        </w:rPr>
        <w:tab/>
      </w:r>
      <w:r w:rsidRPr="005800D2">
        <w:rPr>
          <w:rFonts w:ascii="Times New Roman" w:hAnsi="Times New Roman" w:cs="Times New Roman"/>
          <w:sz w:val="24"/>
          <w:szCs w:val="24"/>
        </w:rPr>
        <w:t>Productivity and Performance Management, 66(7), 914-931.</w:t>
      </w:r>
    </w:p>
    <w:p w14:paraId="6A01C89F" w14:textId="77777777"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Fleisher, C. S., &amp; Bensoussan, B. E. (2015). Business and competitive analysis</w:t>
      </w:r>
      <w:r>
        <w:rPr>
          <w:rFonts w:ascii="Times New Roman" w:hAnsi="Times New Roman" w:cs="Times New Roman"/>
          <w:sz w:val="24"/>
          <w:szCs w:val="24"/>
        </w:rPr>
        <w:t>: effective</w:t>
      </w:r>
      <w:r>
        <w:rPr>
          <w:rFonts w:ascii="Times New Roman" w:hAnsi="Times New Roman" w:cs="Times New Roman"/>
          <w:sz w:val="24"/>
          <w:szCs w:val="24"/>
        </w:rPr>
        <w:tab/>
      </w:r>
      <w:r w:rsidRPr="005800D2">
        <w:rPr>
          <w:rFonts w:ascii="Times New Roman" w:hAnsi="Times New Roman" w:cs="Times New Roman"/>
          <w:sz w:val="24"/>
          <w:szCs w:val="24"/>
        </w:rPr>
        <w:t xml:space="preserve">application of new and classic methods. FT Press. </w:t>
      </w:r>
    </w:p>
    <w:p w14:paraId="617A7B96" w14:textId="77777777"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Jayant, A., Giri, V., Singh, P. K., &amp; Luthra, S. (2018). A state-of th</w:t>
      </w:r>
      <w:r>
        <w:rPr>
          <w:rFonts w:ascii="Times New Roman" w:hAnsi="Times New Roman" w:cs="Times New Roman"/>
          <w:sz w:val="24"/>
          <w:szCs w:val="24"/>
        </w:rPr>
        <w:t>e-art literature survey of grey</w:t>
      </w:r>
      <w:r>
        <w:rPr>
          <w:rFonts w:ascii="Times New Roman" w:hAnsi="Times New Roman" w:cs="Times New Roman"/>
          <w:sz w:val="24"/>
          <w:szCs w:val="24"/>
        </w:rPr>
        <w:tab/>
      </w:r>
      <w:r w:rsidRPr="005800D2">
        <w:rPr>
          <w:rFonts w:ascii="Times New Roman" w:hAnsi="Times New Roman" w:cs="Times New Roman"/>
          <w:sz w:val="24"/>
          <w:szCs w:val="24"/>
        </w:rPr>
        <w:t>relational analysis applications in competitive busi</w:t>
      </w:r>
      <w:r>
        <w:rPr>
          <w:rFonts w:ascii="Times New Roman" w:hAnsi="Times New Roman" w:cs="Times New Roman"/>
          <w:sz w:val="24"/>
          <w:szCs w:val="24"/>
        </w:rPr>
        <w:t>ness environment. International</w:t>
      </w:r>
      <w:r>
        <w:rPr>
          <w:rFonts w:ascii="Times New Roman" w:hAnsi="Times New Roman" w:cs="Times New Roman"/>
          <w:sz w:val="24"/>
          <w:szCs w:val="24"/>
        </w:rPr>
        <w:tab/>
        <w:t>Journal</w:t>
      </w:r>
      <w:r>
        <w:rPr>
          <w:rFonts w:ascii="Times New Roman" w:hAnsi="Times New Roman" w:cs="Times New Roman"/>
          <w:sz w:val="24"/>
          <w:szCs w:val="24"/>
        </w:rPr>
        <w:tab/>
      </w:r>
      <w:r w:rsidRPr="005800D2">
        <w:rPr>
          <w:rFonts w:ascii="Times New Roman" w:hAnsi="Times New Roman" w:cs="Times New Roman"/>
          <w:sz w:val="24"/>
          <w:szCs w:val="24"/>
        </w:rPr>
        <w:t>of Industrial and Systems Engineering, 30(4), 425-448.</w:t>
      </w:r>
    </w:p>
    <w:p w14:paraId="32E4250D" w14:textId="77777777"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 xml:space="preserve">Viswanadham, N. (2018). Performance analysis and design </w:t>
      </w:r>
      <w:r>
        <w:rPr>
          <w:rFonts w:ascii="Times New Roman" w:hAnsi="Times New Roman" w:cs="Times New Roman"/>
          <w:sz w:val="24"/>
          <w:szCs w:val="24"/>
        </w:rPr>
        <w:t>of competitive business models.</w:t>
      </w:r>
      <w:r>
        <w:rPr>
          <w:rFonts w:ascii="Times New Roman" w:hAnsi="Times New Roman" w:cs="Times New Roman"/>
          <w:sz w:val="24"/>
          <w:szCs w:val="24"/>
        </w:rPr>
        <w:tab/>
      </w:r>
      <w:r w:rsidRPr="005800D2">
        <w:rPr>
          <w:rFonts w:ascii="Times New Roman" w:hAnsi="Times New Roman" w:cs="Times New Roman"/>
          <w:sz w:val="24"/>
          <w:szCs w:val="24"/>
        </w:rPr>
        <w:t>International Journal of Production Research, 56(1-2), 983-999.</w:t>
      </w:r>
    </w:p>
    <w:p w14:paraId="756E2B5A" w14:textId="77777777" w:rsidR="005800D2" w:rsidRPr="005800D2" w:rsidRDefault="005800D2" w:rsidP="005800D2">
      <w:pPr>
        <w:spacing w:after="0" w:line="480" w:lineRule="auto"/>
        <w:rPr>
          <w:rFonts w:ascii="Times New Roman" w:hAnsi="Times New Roman" w:cs="Times New Roman"/>
          <w:sz w:val="24"/>
          <w:szCs w:val="24"/>
        </w:rPr>
      </w:pPr>
    </w:p>
    <w:sectPr w:rsidR="005800D2" w:rsidRPr="005800D2" w:rsidSect="005800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140FF" w14:textId="77777777" w:rsidR="00A66005" w:rsidRDefault="00A66005" w:rsidP="002D1C7D">
      <w:pPr>
        <w:spacing w:after="0" w:line="240" w:lineRule="auto"/>
      </w:pPr>
      <w:r>
        <w:separator/>
      </w:r>
    </w:p>
  </w:endnote>
  <w:endnote w:type="continuationSeparator" w:id="0">
    <w:p w14:paraId="681E28F5" w14:textId="77777777" w:rsidR="00A66005" w:rsidRDefault="00A66005" w:rsidP="002D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20E6A" w14:textId="77777777" w:rsidR="00A66005" w:rsidRDefault="00A66005" w:rsidP="002D1C7D">
      <w:pPr>
        <w:spacing w:after="0" w:line="240" w:lineRule="auto"/>
      </w:pPr>
      <w:r>
        <w:separator/>
      </w:r>
    </w:p>
  </w:footnote>
  <w:footnote w:type="continuationSeparator" w:id="0">
    <w:p w14:paraId="1DAFAE03" w14:textId="77777777" w:rsidR="00A66005" w:rsidRDefault="00A66005" w:rsidP="002D1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75F59" w14:textId="16060B9E" w:rsidR="005800D2" w:rsidRPr="00942D66" w:rsidRDefault="00942D66" w:rsidP="008D6CC8">
    <w:pPr>
      <w:pStyle w:val="Header"/>
      <w:jc w:val="center"/>
      <w:rPr>
        <w:rFonts w:ascii="Times New Roman" w:hAnsi="Times New Roman" w:cs="Times New Roman"/>
        <w:sz w:val="24"/>
        <w:szCs w:val="24"/>
      </w:rPr>
    </w:pPr>
    <w:r w:rsidRPr="00942D66">
      <w:rPr>
        <w:rFonts w:ascii="Times New Roman" w:hAnsi="Times New Roman" w:cs="Times New Roman"/>
        <w:sz w:val="24"/>
        <w:szCs w:val="24"/>
      </w:rPr>
      <w:t xml:space="preserve"> COMPETITIVE ANALYSIS</w:t>
    </w:r>
    <w:r w:rsidRPr="00942D66">
      <w:rPr>
        <w:rFonts w:ascii="Times New Roman" w:hAnsi="Times New Roman" w:cs="Times New Roman"/>
        <w:sz w:val="24"/>
        <w:szCs w:val="24"/>
      </w:rPr>
      <w:tab/>
    </w:r>
    <w:r w:rsidRPr="00942D66">
      <w:rPr>
        <w:rFonts w:ascii="Times New Roman" w:hAnsi="Times New Roman" w:cs="Times New Roman"/>
        <w:sz w:val="24"/>
        <w:szCs w:val="24"/>
      </w:rPr>
      <w:tab/>
    </w:r>
    <w:sdt>
      <w:sdtPr>
        <w:rPr>
          <w:rFonts w:ascii="Times New Roman" w:hAnsi="Times New Roman" w:cs="Times New Roman"/>
          <w:sz w:val="24"/>
          <w:szCs w:val="24"/>
        </w:rPr>
        <w:id w:val="301584147"/>
        <w:docPartObj>
          <w:docPartGallery w:val="Page Numbers (Top of Page)"/>
          <w:docPartUnique/>
        </w:docPartObj>
      </w:sdtPr>
      <w:sdtEndPr>
        <w:rPr>
          <w:noProof/>
        </w:rPr>
      </w:sdtEndPr>
      <w:sdtContent>
        <w:r w:rsidR="005800D2" w:rsidRPr="00942D66">
          <w:rPr>
            <w:rFonts w:ascii="Times New Roman" w:hAnsi="Times New Roman" w:cs="Times New Roman"/>
            <w:sz w:val="24"/>
            <w:szCs w:val="24"/>
          </w:rPr>
          <w:fldChar w:fldCharType="begin"/>
        </w:r>
        <w:r w:rsidR="005800D2" w:rsidRPr="00942D66">
          <w:rPr>
            <w:rFonts w:ascii="Times New Roman" w:hAnsi="Times New Roman" w:cs="Times New Roman"/>
            <w:sz w:val="24"/>
            <w:szCs w:val="24"/>
          </w:rPr>
          <w:instrText xml:space="preserve"> PAGE   \* MERGEFORMAT </w:instrText>
        </w:r>
        <w:r w:rsidR="005800D2" w:rsidRPr="00942D66">
          <w:rPr>
            <w:rFonts w:ascii="Times New Roman" w:hAnsi="Times New Roman" w:cs="Times New Roman"/>
            <w:sz w:val="24"/>
            <w:szCs w:val="24"/>
          </w:rPr>
          <w:fldChar w:fldCharType="separate"/>
        </w:r>
        <w:r w:rsidR="00663E6A">
          <w:rPr>
            <w:rFonts w:ascii="Times New Roman" w:hAnsi="Times New Roman" w:cs="Times New Roman"/>
            <w:noProof/>
            <w:sz w:val="24"/>
            <w:szCs w:val="24"/>
          </w:rPr>
          <w:t>6</w:t>
        </w:r>
        <w:r w:rsidR="005800D2" w:rsidRPr="00942D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1C59C" w14:textId="24E7BFD2" w:rsidR="005800D2" w:rsidRPr="00942D66" w:rsidRDefault="00942D66" w:rsidP="005F1F74">
    <w:pPr>
      <w:pStyle w:val="Header"/>
      <w:rPr>
        <w:rFonts w:ascii="Times New Roman" w:hAnsi="Times New Roman" w:cs="Times New Roman"/>
        <w:sz w:val="24"/>
        <w:szCs w:val="24"/>
      </w:rPr>
    </w:pPr>
    <w:r w:rsidRPr="00942D66">
      <w:rPr>
        <w:rFonts w:ascii="Times New Roman" w:hAnsi="Times New Roman" w:cs="Times New Roman"/>
        <w:sz w:val="24"/>
        <w:szCs w:val="24"/>
      </w:rPr>
      <w:t>Running head: COMPETITIVE ANALYSIS</w:t>
    </w:r>
    <w:r w:rsidRPr="00942D66">
      <w:rPr>
        <w:rFonts w:ascii="Times New Roman" w:hAnsi="Times New Roman" w:cs="Times New Roman"/>
        <w:sz w:val="24"/>
        <w:szCs w:val="24"/>
      </w:rPr>
      <w:tab/>
    </w:r>
    <w:r w:rsidR="005F1F74">
      <w:rPr>
        <w:rFonts w:ascii="Times New Roman" w:hAnsi="Times New Roman" w:cs="Times New Roman"/>
        <w:sz w:val="24"/>
        <w:szCs w:val="24"/>
      </w:rPr>
      <w:tab/>
    </w:r>
    <w:sdt>
      <w:sdtPr>
        <w:rPr>
          <w:rFonts w:ascii="Times New Roman" w:hAnsi="Times New Roman" w:cs="Times New Roman"/>
          <w:sz w:val="24"/>
          <w:szCs w:val="24"/>
        </w:rPr>
        <w:id w:val="560365898"/>
        <w:docPartObj>
          <w:docPartGallery w:val="Page Numbers (Top of Page)"/>
          <w:docPartUnique/>
        </w:docPartObj>
      </w:sdtPr>
      <w:sdtEndPr>
        <w:rPr>
          <w:noProof/>
        </w:rPr>
      </w:sdtEndPr>
      <w:sdtContent>
        <w:r w:rsidRPr="00942D66">
          <w:rPr>
            <w:rFonts w:ascii="Times New Roman" w:hAnsi="Times New Roman" w:cs="Times New Roman"/>
            <w:sz w:val="24"/>
            <w:szCs w:val="24"/>
          </w:rPr>
          <w:fldChar w:fldCharType="begin"/>
        </w:r>
        <w:r w:rsidRPr="00942D66">
          <w:rPr>
            <w:rFonts w:ascii="Times New Roman" w:hAnsi="Times New Roman" w:cs="Times New Roman"/>
            <w:sz w:val="24"/>
            <w:szCs w:val="24"/>
          </w:rPr>
          <w:instrText xml:space="preserve"> PAGE   \* MERGEFORMAT </w:instrText>
        </w:r>
        <w:r w:rsidRPr="00942D66">
          <w:rPr>
            <w:rFonts w:ascii="Times New Roman" w:hAnsi="Times New Roman" w:cs="Times New Roman"/>
            <w:sz w:val="24"/>
            <w:szCs w:val="24"/>
          </w:rPr>
          <w:fldChar w:fldCharType="separate"/>
        </w:r>
        <w:r w:rsidR="00663E6A">
          <w:rPr>
            <w:rFonts w:ascii="Times New Roman" w:hAnsi="Times New Roman" w:cs="Times New Roman"/>
            <w:noProof/>
            <w:sz w:val="24"/>
            <w:szCs w:val="24"/>
          </w:rPr>
          <w:t>1</w:t>
        </w:r>
        <w:r w:rsidRPr="00942D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zMjM1trAwNzEzNTJV0lEKTi0uzszPAykwrAUA/ZlVBywAAAA="/>
  </w:docVars>
  <w:rsids>
    <w:rsidRoot w:val="00F14B58"/>
    <w:rsid w:val="00003984"/>
    <w:rsid w:val="000C564F"/>
    <w:rsid w:val="00121AD3"/>
    <w:rsid w:val="0016654C"/>
    <w:rsid w:val="001D097C"/>
    <w:rsid w:val="00215896"/>
    <w:rsid w:val="002D1C7D"/>
    <w:rsid w:val="004C30B5"/>
    <w:rsid w:val="005800D2"/>
    <w:rsid w:val="005F1F74"/>
    <w:rsid w:val="00663E6A"/>
    <w:rsid w:val="008D6CC8"/>
    <w:rsid w:val="00901DC3"/>
    <w:rsid w:val="00942D66"/>
    <w:rsid w:val="00A66005"/>
    <w:rsid w:val="00E610AC"/>
    <w:rsid w:val="00E6750D"/>
    <w:rsid w:val="00F14B5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94CDE6"/>
  <w15:docId w15:val="{BC0046FB-4466-430F-AC13-8F9FD867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7D"/>
  </w:style>
  <w:style w:type="paragraph" w:styleId="Footer">
    <w:name w:val="footer"/>
    <w:basedOn w:val="Normal"/>
    <w:link w:val="FooterChar"/>
    <w:uiPriority w:val="99"/>
    <w:unhideWhenUsed/>
    <w:rsid w:val="002D1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Mytaylor880@outlook.com</cp:lastModifiedBy>
  <cp:revision>2</cp:revision>
  <dcterms:created xsi:type="dcterms:W3CDTF">2019-02-03T04:38:00Z</dcterms:created>
  <dcterms:modified xsi:type="dcterms:W3CDTF">2019-02-03T04:38:00Z</dcterms:modified>
</cp:coreProperties>
</file>